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D8B" w:rsidRPr="00984EE1" w:rsidRDefault="004F4FEC">
      <w:pPr>
        <w:jc w:val="center"/>
        <w:rPr>
          <w:b/>
          <w:sz w:val="16"/>
          <w:szCs w:val="16"/>
        </w:rPr>
      </w:pPr>
      <w:bookmarkStart w:id="0" w:name="_GoBack"/>
      <w:bookmarkEnd w:id="0"/>
      <w:r w:rsidRPr="00984EE1">
        <w:rPr>
          <w:b/>
          <w:sz w:val="16"/>
          <w:szCs w:val="16"/>
        </w:rPr>
        <w:t>ДЕРЕВО ЦІЛЕЙ СТРАТЕГІЇ РОЗВИТКУ ЛЬВІВСЬКОЇ ОБЛАСТІ НА ПЕРІОД ДО 2027 РОКУ</w:t>
      </w:r>
    </w:p>
    <w:tbl>
      <w:tblPr>
        <w:tblStyle w:val="ac"/>
        <w:tblW w:w="11341" w:type="dxa"/>
        <w:tblInd w:w="-1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8222"/>
      </w:tblGrid>
      <w:tr w:rsidR="002E3D8B" w:rsidRPr="00984EE1" w:rsidTr="00A62E2F">
        <w:trPr>
          <w:trHeight w:val="20"/>
        </w:trPr>
        <w:tc>
          <w:tcPr>
            <w:tcW w:w="709" w:type="dxa"/>
            <w:shd w:val="clear" w:color="auto" w:fill="D9D9D9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Стратегічні цілі</w:t>
            </w:r>
          </w:p>
        </w:tc>
        <w:tc>
          <w:tcPr>
            <w:tcW w:w="2410" w:type="dxa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Операційні цілі</w:t>
            </w:r>
          </w:p>
        </w:tc>
        <w:tc>
          <w:tcPr>
            <w:tcW w:w="8222" w:type="dxa"/>
            <w:vAlign w:val="center"/>
          </w:tcPr>
          <w:p w:rsidR="002E3D8B" w:rsidRPr="00984EE1" w:rsidRDefault="004F4FEC">
            <w:pPr>
              <w:jc w:val="center"/>
              <w:rPr>
                <w:b/>
                <w:sz w:val="16"/>
                <w:szCs w:val="16"/>
              </w:rPr>
            </w:pPr>
            <w:r w:rsidRPr="00984EE1">
              <w:rPr>
                <w:b/>
                <w:sz w:val="16"/>
                <w:szCs w:val="16"/>
              </w:rPr>
              <w:t>Завдання</w:t>
            </w:r>
          </w:p>
        </w:tc>
      </w:tr>
      <w:tr w:rsidR="002E3D8B" w:rsidRPr="00984EE1" w:rsidTr="00A62E2F">
        <w:trPr>
          <w:trHeight w:val="1318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2E3D8B" w:rsidRPr="00984EE1" w:rsidRDefault="004F4FEC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КОНКУРЕНТОСПРОМОЖНА ЕКОНОМІКА НА ЗАСАДАХ СМАРТ-СПЕЦІАЛІЗАЦІЇ</w:t>
            </w:r>
          </w:p>
        </w:tc>
        <w:tc>
          <w:tcPr>
            <w:tcW w:w="2410" w:type="dxa"/>
          </w:tcPr>
          <w:p w:rsidR="002E3D8B" w:rsidRPr="00984EE1" w:rsidRDefault="004F4FEC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 Розвиток видів економічної діяльності, орієнтованих на інновації та високу додану вартість</w:t>
            </w:r>
          </w:p>
        </w:tc>
        <w:tc>
          <w:tcPr>
            <w:tcW w:w="8222" w:type="dxa"/>
          </w:tcPr>
          <w:p w:rsidR="002E3D8B" w:rsidRPr="00984EE1" w:rsidRDefault="004F4FEC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1.1.1. Сприяння розвитку галузей промисловості з високою доданою вартістю (машинобудування та приладобудування, текстильна </w:t>
            </w:r>
            <w:r w:rsidR="001A0954">
              <w:rPr>
                <w:sz w:val="16"/>
                <w:szCs w:val="16"/>
              </w:rPr>
              <w:t>та ф</w:t>
            </w:r>
            <w:r w:rsidR="001A0954" w:rsidRPr="001A0954">
              <w:rPr>
                <w:sz w:val="16"/>
                <w:szCs w:val="16"/>
              </w:rPr>
              <w:t xml:space="preserve">армацевтична </w:t>
            </w:r>
            <w:r w:rsidRPr="00984EE1">
              <w:rPr>
                <w:sz w:val="16"/>
                <w:szCs w:val="16"/>
              </w:rPr>
              <w:t>промисловість);</w:t>
            </w:r>
          </w:p>
          <w:p w:rsidR="002E3D8B" w:rsidRPr="00984EE1" w:rsidRDefault="004F4FEC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1.1.2. Розвиток біоекономіки (деревообробна та меблева промисловість; поліграфія; харчова промисловість; органічне сільське господарство; біоенергетика</w:t>
            </w:r>
            <w:r w:rsidR="00660C81" w:rsidRPr="00984EE1">
              <w:rPr>
                <w:sz w:val="16"/>
                <w:szCs w:val="16"/>
              </w:rPr>
              <w:t>; біотехнології</w:t>
            </w:r>
            <w:r w:rsidRPr="00984EE1">
              <w:rPr>
                <w:sz w:val="16"/>
                <w:szCs w:val="16"/>
              </w:rPr>
              <w:t>);</w:t>
            </w:r>
          </w:p>
          <w:p w:rsidR="002E3D8B" w:rsidRPr="00984EE1" w:rsidRDefault="004F4FEC" w:rsidP="001A0954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1.1.3. Підтримка креативних індустрій (ІТ та програмування; діяльність у сфері творчості, мистецтва та розваг; виробництво аудіо, відео продукції та рекламних матеріалів</w:t>
            </w:r>
            <w:r w:rsidR="00B97DD8" w:rsidRPr="00984EE1">
              <w:rPr>
                <w:sz w:val="16"/>
                <w:szCs w:val="16"/>
              </w:rPr>
              <w:t>; надання інформаційних послуг</w:t>
            </w:r>
            <w:r w:rsidR="001A0954">
              <w:rPr>
                <w:sz w:val="16"/>
                <w:szCs w:val="16"/>
              </w:rPr>
              <w:t xml:space="preserve">; </w:t>
            </w:r>
            <w:r w:rsidR="001A0954" w:rsidRPr="00984EE1">
              <w:rPr>
                <w:sz w:val="16"/>
                <w:szCs w:val="16"/>
              </w:rPr>
              <w:t>виробництво ювелірних виробів, біжутерії та подібних виробів</w:t>
            </w:r>
            <w:r w:rsidR="00B97DD8" w:rsidRPr="00984EE1">
              <w:rPr>
                <w:sz w:val="16"/>
                <w:szCs w:val="16"/>
              </w:rPr>
              <w:t>)</w:t>
            </w:r>
          </w:p>
        </w:tc>
      </w:tr>
      <w:tr w:rsidR="002E3D8B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2E3D8B" w:rsidRPr="00984EE1" w:rsidRDefault="002E3D8B" w:rsidP="00AE49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2E3D8B" w:rsidRPr="00984EE1" w:rsidRDefault="004F4FEC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 Інвестиційна привабливість</w:t>
            </w:r>
          </w:p>
        </w:tc>
        <w:tc>
          <w:tcPr>
            <w:tcW w:w="8222" w:type="dxa"/>
          </w:tcPr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1.2.1. Розвиток інфраструктури підтримки підприємництва, кластерів, кооперативів, індустріальних парків;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1.2.2. Сприяння розвитку малого та середнього бізнесу; 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1.2.3. Підвищення інвестиційної привабливості та міжнародна промоція регіону;</w:t>
            </w:r>
          </w:p>
          <w:p w:rsidR="002E3D8B" w:rsidRPr="00984EE1" w:rsidRDefault="004F4FEC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1.2.4. Наближення системи підготовки кадрів у відповідність до потреб регіональної економіки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1.3. Енергетична самодостатність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1.3.1. Оптимізація паливно-енергетичного балансу області (енергоефективність, збільшення видобутку енергоресурсів, відновлювана енергетика, біоенергетика, акумуляція енергії, децентралізація енергопостачання, балансування мереж, декарбонізація енергетики);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1.3.2. Формування енергоефективного суспільства;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1.3.3. Діджиталізація виробництва, транспортування та споживання паливно-енергетичних ресурсів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402ECF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 </w:t>
            </w:r>
            <w:r w:rsidR="00402ECF" w:rsidRPr="00984EE1">
              <w:rPr>
                <w:sz w:val="16"/>
                <w:szCs w:val="16"/>
              </w:rPr>
              <w:t xml:space="preserve">Підвищення потенціалу </w:t>
            </w:r>
            <w:r w:rsidR="00660C81" w:rsidRPr="00984EE1">
              <w:rPr>
                <w:sz w:val="16"/>
                <w:szCs w:val="16"/>
              </w:rPr>
              <w:t xml:space="preserve">науки та </w:t>
            </w:r>
            <w:r w:rsidRPr="00984EE1">
              <w:rPr>
                <w:sz w:val="16"/>
                <w:szCs w:val="16"/>
              </w:rPr>
              <w:t>інновацій</w:t>
            </w:r>
            <w:r w:rsidR="00660C81" w:rsidRPr="00984EE1">
              <w:rPr>
                <w:sz w:val="16"/>
                <w:szCs w:val="16"/>
              </w:rPr>
              <w:t xml:space="preserve"> для трансформації економіки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shd w:val="clear" w:color="auto" w:fill="FFFFFF"/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1.4.1. Розвиток інноваційної інфраструктури, сприяння утворенню інноваційних парків;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1.4.2. Підтримка </w:t>
            </w:r>
            <w:r w:rsidR="00402ECF" w:rsidRPr="00984EE1">
              <w:rPr>
                <w:sz w:val="16"/>
                <w:szCs w:val="16"/>
              </w:rPr>
              <w:t xml:space="preserve">прикладних досліджень, </w:t>
            </w:r>
            <w:r w:rsidRPr="00984EE1">
              <w:rPr>
                <w:sz w:val="16"/>
                <w:szCs w:val="16"/>
              </w:rPr>
              <w:t>інноваційних стартапів</w:t>
            </w:r>
            <w:r w:rsidR="00402ECF" w:rsidRPr="00984EE1">
              <w:rPr>
                <w:sz w:val="16"/>
                <w:szCs w:val="16"/>
              </w:rPr>
              <w:t xml:space="preserve"> та обдарованої </w:t>
            </w:r>
            <w:r w:rsidR="00660C81" w:rsidRPr="00984EE1">
              <w:rPr>
                <w:sz w:val="16"/>
                <w:szCs w:val="16"/>
              </w:rPr>
              <w:t>молоді</w:t>
            </w:r>
            <w:r w:rsidRPr="00984EE1">
              <w:rPr>
                <w:sz w:val="16"/>
                <w:szCs w:val="16"/>
              </w:rPr>
              <w:t>;</w:t>
            </w:r>
          </w:p>
          <w:p w:rsidR="00660C81" w:rsidRPr="00984EE1" w:rsidRDefault="00B97DD8" w:rsidP="00402ECF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1.4.3. </w:t>
            </w:r>
            <w:r w:rsidR="00660C81" w:rsidRPr="00984EE1">
              <w:rPr>
                <w:sz w:val="16"/>
                <w:szCs w:val="16"/>
              </w:rPr>
              <w:t xml:space="preserve">Сприяння трансферту </w:t>
            </w:r>
            <w:r w:rsidR="00402ECF" w:rsidRPr="00984EE1">
              <w:rPr>
                <w:sz w:val="16"/>
                <w:szCs w:val="16"/>
              </w:rPr>
              <w:t xml:space="preserve">передових </w:t>
            </w:r>
            <w:r w:rsidR="00660C81" w:rsidRPr="00984EE1">
              <w:rPr>
                <w:sz w:val="16"/>
                <w:szCs w:val="16"/>
              </w:rPr>
              <w:t>технологій</w:t>
            </w:r>
            <w:r w:rsidR="00402ECF" w:rsidRPr="00984EE1">
              <w:rPr>
                <w:sz w:val="16"/>
                <w:szCs w:val="16"/>
              </w:rPr>
              <w:t xml:space="preserve"> у виробничий та науково-освітній процес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ЯКІСНЕ ЖИТТЯ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 Здорове суспільство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2.1.1. Розвиток системи громадського здоров’я;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2.1.2. Вдосконалення системи екстреної медичної допомоги;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2.1.3. Розвиток спеціалізованої стаціонарної допомоги;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2.1.4. Покращення стану здоров’я мешканців області</w:t>
            </w:r>
            <w:r w:rsidR="00BB09FA" w:rsidRPr="00984EE1">
              <w:rPr>
                <w:sz w:val="16"/>
                <w:szCs w:val="16"/>
              </w:rPr>
              <w:t>;</w:t>
            </w:r>
          </w:p>
          <w:p w:rsidR="00BB09FA" w:rsidRPr="00984EE1" w:rsidRDefault="00BB09FA" w:rsidP="007C3E40">
            <w:pPr>
              <w:tabs>
                <w:tab w:val="left" w:pos="416"/>
              </w:tabs>
              <w:jc w:val="both"/>
              <w:rPr>
                <w:sz w:val="16"/>
                <w:szCs w:val="16"/>
                <w:shd w:val="clear" w:color="auto" w:fill="F9CB9C"/>
              </w:rPr>
            </w:pPr>
            <w:r w:rsidRPr="00984EE1">
              <w:rPr>
                <w:sz w:val="16"/>
                <w:szCs w:val="16"/>
              </w:rPr>
              <w:t>2.1.5. Поп</w:t>
            </w:r>
            <w:r w:rsidR="007C3E40" w:rsidRPr="00984EE1">
              <w:rPr>
                <w:sz w:val="16"/>
                <w:szCs w:val="16"/>
              </w:rPr>
              <w:t xml:space="preserve">уляризація фізичної культури, професійного та </w:t>
            </w:r>
            <w:r w:rsidRPr="00984EE1">
              <w:rPr>
                <w:sz w:val="16"/>
                <w:szCs w:val="16"/>
              </w:rPr>
              <w:t xml:space="preserve">масового спорту серед населення. Спортивна інклюзія для осіб з інвалідністю 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984EE1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2.2. </w:t>
            </w:r>
            <w:r w:rsidR="00984EE1" w:rsidRPr="00984EE1">
              <w:rPr>
                <w:sz w:val="16"/>
                <w:szCs w:val="16"/>
              </w:rPr>
              <w:t xml:space="preserve">Розвиток людського капіталу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2.2.1. Соціальний захист учасників АТО (ООС), членів їх родин, а також інших соціальних</w:t>
            </w:r>
            <w:r w:rsidR="00402ECF" w:rsidRPr="00984EE1">
              <w:rPr>
                <w:sz w:val="16"/>
                <w:szCs w:val="16"/>
              </w:rPr>
              <w:t xml:space="preserve"> </w:t>
            </w:r>
            <w:r w:rsidRPr="00984EE1">
              <w:rPr>
                <w:sz w:val="16"/>
                <w:szCs w:val="16"/>
              </w:rPr>
              <w:t>груп;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2.2.2. Формування інклюзивного суспільства;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2.2.3. Підтримка громадських ініціатив в соціальній сфері;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2.2.4. Профілактика негативних соціальних явищ</w:t>
            </w:r>
            <w:r w:rsidR="00984EE1" w:rsidRPr="00984EE1">
              <w:rPr>
                <w:sz w:val="16"/>
                <w:szCs w:val="16"/>
              </w:rPr>
              <w:t>;</w:t>
            </w:r>
          </w:p>
          <w:p w:rsidR="00984EE1" w:rsidRPr="00984EE1" w:rsidRDefault="00984EE1" w:rsidP="00984EE1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2.2.5. Забезпечення гендерної рівності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 Освічені громади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2.3.1. Створення рівних умов доступу до якісної освіти;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2.3.2. Сприяння патріотичному вихованню, професійному становленню дітей та молоді;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2.3.3. Підтримка освіти впродовж життя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 Безпечне та безбар’єрне середовище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2.4.1. Безпека на вулицях та дорогах</w:t>
            </w:r>
            <w:r w:rsidR="00984EE1" w:rsidRPr="00984EE1">
              <w:rPr>
                <w:sz w:val="16"/>
                <w:szCs w:val="16"/>
              </w:rPr>
              <w:t xml:space="preserve"> та у </w:t>
            </w:r>
            <w:r w:rsidRPr="00984EE1">
              <w:rPr>
                <w:sz w:val="16"/>
                <w:szCs w:val="16"/>
              </w:rPr>
              <w:t>громадських місцях;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</w:t>
            </w:r>
            <w:r w:rsidR="00984EE1" w:rsidRPr="00984EE1">
              <w:rPr>
                <w:sz w:val="16"/>
                <w:szCs w:val="16"/>
              </w:rPr>
              <w:t>2</w:t>
            </w:r>
            <w:r w:rsidRPr="00984EE1">
              <w:rPr>
                <w:sz w:val="16"/>
                <w:szCs w:val="16"/>
              </w:rPr>
              <w:t>. Техногенна безпека;</w:t>
            </w:r>
          </w:p>
          <w:p w:rsidR="00B97DD8" w:rsidRPr="00984EE1" w:rsidRDefault="00B97DD8" w:rsidP="00984EE1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2.4.</w:t>
            </w:r>
            <w:r w:rsidR="00984EE1" w:rsidRPr="00984EE1">
              <w:rPr>
                <w:sz w:val="16"/>
                <w:szCs w:val="16"/>
              </w:rPr>
              <w:t>3</w:t>
            </w:r>
            <w:r w:rsidRPr="00984EE1">
              <w:rPr>
                <w:sz w:val="16"/>
                <w:szCs w:val="16"/>
              </w:rPr>
              <w:t>. Безбар’єрне середовище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984EE1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ЗБАЛАНСОВАНИЙ </w:t>
            </w:r>
            <w:r w:rsidR="00B97DD8" w:rsidRPr="00984EE1">
              <w:rPr>
                <w:sz w:val="16"/>
                <w:szCs w:val="16"/>
              </w:rPr>
              <w:t>ПРОСТОРОВИЙ РОЗВИТОК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3.1. Подолання внутрішньорегіональних диспропорцій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3.1.1. Диверсифікація економіки старопромислових територій та монофункціональних міст;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3.1.2. Покращення якості </w:t>
            </w:r>
            <w:r w:rsidR="00984EE1" w:rsidRPr="00984EE1">
              <w:rPr>
                <w:sz w:val="16"/>
                <w:szCs w:val="16"/>
              </w:rPr>
              <w:t xml:space="preserve">публічних </w:t>
            </w:r>
            <w:r w:rsidRPr="00984EE1">
              <w:rPr>
                <w:sz w:val="16"/>
                <w:szCs w:val="16"/>
              </w:rPr>
              <w:t>послуг в ОТГ. Впровадження електронних сервісів в управлінні;</w:t>
            </w:r>
          </w:p>
          <w:p w:rsidR="00B97DD8" w:rsidRPr="00984EE1" w:rsidRDefault="00B97DD8" w:rsidP="00984EE1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3.1.3. Стимулювання міжмуніципального співробітництва територіальних громад для вирішення проблем розвитку територій. Реалізація спільних інвестиційних проектів</w:t>
            </w:r>
          </w:p>
        </w:tc>
      </w:tr>
      <w:tr w:rsidR="00B97DD8" w:rsidRPr="00984EE1" w:rsidTr="00A62E2F">
        <w:trPr>
          <w:trHeight w:val="6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 Дорожньо-транспортна, логістична, транскордонна та інформаційно-комунікаційна інфраструктура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3.2.1. </w:t>
            </w:r>
            <w:r w:rsidRPr="00984EE1">
              <w:rPr>
                <w:color w:val="000000"/>
                <w:sz w:val="16"/>
                <w:szCs w:val="16"/>
              </w:rPr>
              <w:t>Розвиток транскордонної інфраструктури</w:t>
            </w:r>
            <w:r w:rsidR="00984EE1" w:rsidRPr="00984EE1">
              <w:rPr>
                <w:color w:val="000000"/>
                <w:sz w:val="16"/>
                <w:szCs w:val="16"/>
              </w:rPr>
              <w:t>. Розбудова міжнародних пунктів пропуску</w:t>
            </w:r>
            <w:r w:rsidRPr="00984EE1">
              <w:rPr>
                <w:color w:val="000000"/>
                <w:sz w:val="16"/>
                <w:szCs w:val="16"/>
              </w:rPr>
              <w:t>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</w:t>
            </w:r>
            <w:r w:rsidR="00402ECF" w:rsidRPr="00984EE1">
              <w:rPr>
                <w:sz w:val="16"/>
                <w:szCs w:val="16"/>
              </w:rPr>
              <w:t>2</w:t>
            </w:r>
            <w:r w:rsidRPr="00984EE1">
              <w:rPr>
                <w:sz w:val="16"/>
                <w:szCs w:val="16"/>
              </w:rPr>
              <w:t xml:space="preserve">. </w:t>
            </w:r>
            <w:r w:rsidRPr="00984EE1">
              <w:rPr>
                <w:color w:val="000000"/>
                <w:sz w:val="16"/>
                <w:szCs w:val="16"/>
              </w:rPr>
              <w:t>Реалізація великих інфраструктурних проектів;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color w:val="000000"/>
                <w:sz w:val="16"/>
                <w:szCs w:val="16"/>
              </w:rPr>
            </w:pPr>
            <w:r w:rsidRPr="00984EE1">
              <w:rPr>
                <w:color w:val="000000"/>
                <w:sz w:val="16"/>
                <w:szCs w:val="16"/>
              </w:rPr>
              <w:t>3.2.</w:t>
            </w:r>
            <w:r w:rsidR="00402ECF" w:rsidRPr="00984EE1">
              <w:rPr>
                <w:color w:val="000000"/>
                <w:sz w:val="16"/>
                <w:szCs w:val="16"/>
              </w:rPr>
              <w:t>3</w:t>
            </w:r>
            <w:r w:rsidRPr="00984EE1">
              <w:rPr>
                <w:color w:val="000000"/>
                <w:sz w:val="16"/>
                <w:szCs w:val="16"/>
              </w:rPr>
              <w:t>. Поліпшення стану дорожньої мережі та транспортного сполучення населених пунктів з адміністративними центрами громади, субрегіону та регіону;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3.2.4. Розвиток інформаційно-комунікаційної  інфраструктури громад</w:t>
            </w:r>
          </w:p>
        </w:tc>
      </w:tr>
      <w:tr w:rsidR="00B97DD8" w:rsidRPr="00984EE1" w:rsidTr="00A62E2F">
        <w:trPr>
          <w:trHeight w:val="2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 Підтримка місцевих ініціатив з розвитку інфраструктури гірських, сільських та старопромислових територій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3.3.1. Стимулювання економічної активності громад. Підтримка сільськогосподарських кооперативів, сільськогосподарських виробників та соціального підприємництва;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3.3.2. Стимулювання місцевих ініціатив у сфері покращення житлово-комунальної інфраструктури та безпечного середовища. Стимулювання створення та розвитку ОСББ. Налагодження ефективної системи роздільного сміттєзбирання в громадах;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3.3.3. Створення центрів безпеки у громадах;</w:t>
            </w:r>
          </w:p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3.3.</w:t>
            </w:r>
            <w:r w:rsidR="00402ECF" w:rsidRPr="00984EE1">
              <w:rPr>
                <w:sz w:val="16"/>
                <w:szCs w:val="16"/>
              </w:rPr>
              <w:t>4</w:t>
            </w:r>
            <w:r w:rsidRPr="00984EE1">
              <w:rPr>
                <w:sz w:val="16"/>
                <w:szCs w:val="16"/>
              </w:rPr>
              <w:t>. Покращення якості первинної медичної допомоги у громадах;</w:t>
            </w:r>
          </w:p>
          <w:p w:rsidR="00B97DD8" w:rsidRPr="00984EE1" w:rsidRDefault="00B97DD8" w:rsidP="00402ECF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3.</w:t>
            </w:r>
            <w:r w:rsidR="00402ECF" w:rsidRPr="00984EE1">
              <w:rPr>
                <w:sz w:val="16"/>
                <w:szCs w:val="16"/>
              </w:rPr>
              <w:t>3</w:t>
            </w:r>
            <w:r w:rsidRPr="00984EE1">
              <w:rPr>
                <w:sz w:val="16"/>
                <w:szCs w:val="16"/>
              </w:rPr>
              <w:t>.</w:t>
            </w:r>
            <w:r w:rsidR="00402ECF" w:rsidRPr="00984EE1">
              <w:rPr>
                <w:sz w:val="16"/>
                <w:szCs w:val="16"/>
              </w:rPr>
              <w:t>5</w:t>
            </w:r>
            <w:r w:rsidRPr="00984EE1">
              <w:rPr>
                <w:sz w:val="16"/>
                <w:szCs w:val="16"/>
              </w:rPr>
              <w:t>. Забезпечення доступу до якісних культурних послуг усіх верств населення</w:t>
            </w:r>
          </w:p>
        </w:tc>
      </w:tr>
      <w:tr w:rsidR="00B97DD8" w:rsidRPr="00984EE1" w:rsidTr="00A62E2F">
        <w:trPr>
          <w:trHeight w:val="96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ЧИСТЕ  ДОВКІЛЛЯ</w:t>
            </w: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 Запобігання забрудненню водних ресурсів та атмосферного повітря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4.1.1. Зменшення забруднення водних ресурсів скидами стічних вод (в т.ч. забезпечення централізованим водопостачанням та водовідведенням населених пунктів);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4.1.2. Зменшення шкідливої дії вод підтоплення і затоплення територій;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4.1.3. Ефективне та раціональне використання водних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4.1.4. Оптимізація надрокористування;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4.1.5. Зменшення забруднення повітряного басейну та запобігання змінам клімату</w:t>
            </w:r>
          </w:p>
        </w:tc>
      </w:tr>
      <w:tr w:rsidR="00B97DD8" w:rsidRPr="00984EE1" w:rsidTr="00A62E2F">
        <w:trPr>
          <w:trHeight w:val="48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 Формування екологічної свідомості населення та комплексної системи поводження з відходами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4.2.1. Зменшення обсягів утворених відходів, у тому числі небезпечних;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4.2.2. Покращення системи утилізації усіх видів відходів;</w:t>
            </w:r>
          </w:p>
          <w:p w:rsidR="00660C81" w:rsidRPr="00984EE1" w:rsidRDefault="00B97DD8" w:rsidP="00660C81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 xml:space="preserve">4.2.3. Виховання екологічно свідомого </w:t>
            </w:r>
            <w:r w:rsidR="00660C81" w:rsidRPr="00984EE1">
              <w:rPr>
                <w:sz w:val="16"/>
                <w:szCs w:val="16"/>
              </w:rPr>
              <w:t>суспільства. Забезпечення переходу до регіональної моделі відповідального виробництва та споживання</w:t>
            </w:r>
          </w:p>
        </w:tc>
      </w:tr>
      <w:tr w:rsidR="00B97DD8" w:rsidRPr="00984EE1" w:rsidTr="00A62E2F">
        <w:trPr>
          <w:trHeight w:val="800"/>
        </w:trPr>
        <w:tc>
          <w:tcPr>
            <w:tcW w:w="709" w:type="dxa"/>
            <w:vMerge/>
            <w:shd w:val="clear" w:color="auto" w:fill="D9D9D9"/>
            <w:textDirection w:val="btLr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tabs>
                <w:tab w:val="left" w:pos="416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 Збереження біорізноманіття та розвиток природоохоронних територій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4.3.1. Збереження цінних природних територій та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4.3.2. Розвиток інфраструктури природоохоронних об’єктів;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4.3.3. Підвищення багатофункціональної ролі лісів;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4.3.4. Боротьба з інвазійними видами біоти;</w:t>
            </w:r>
          </w:p>
          <w:p w:rsidR="00B97DD8" w:rsidRPr="00984EE1" w:rsidRDefault="00B97DD8" w:rsidP="00B97DD8">
            <w:pPr>
              <w:tabs>
                <w:tab w:val="left" w:pos="325"/>
              </w:tabs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4.3.5. Збереження об’єктів тваринного світу</w:t>
            </w:r>
          </w:p>
        </w:tc>
      </w:tr>
      <w:tr w:rsidR="00B97DD8" w:rsidRPr="00984EE1" w:rsidTr="00A62E2F">
        <w:trPr>
          <w:trHeight w:val="340"/>
        </w:trPr>
        <w:tc>
          <w:tcPr>
            <w:tcW w:w="709" w:type="dxa"/>
            <w:vMerge w:val="restart"/>
            <w:shd w:val="clear" w:color="auto" w:fill="D9D9D9"/>
            <w:textDirection w:val="btLr"/>
          </w:tcPr>
          <w:p w:rsidR="00B97DD8" w:rsidRPr="00984EE1" w:rsidRDefault="00B97DD8" w:rsidP="00B97DD8">
            <w:pPr>
              <w:ind w:left="113" w:right="113"/>
              <w:jc w:val="center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ТУРИСТИЧНА ПРИВАБЛИВІСТЬ</w:t>
            </w:r>
          </w:p>
        </w:tc>
        <w:tc>
          <w:tcPr>
            <w:tcW w:w="2410" w:type="dxa"/>
          </w:tcPr>
          <w:p w:rsidR="00B97DD8" w:rsidRPr="00984EE1" w:rsidRDefault="00B97DD8" w:rsidP="001A0954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 Інфраструктура туризму, курортів</w:t>
            </w:r>
            <w:r w:rsidR="00432804" w:rsidRPr="00984EE1">
              <w:rPr>
                <w:sz w:val="16"/>
                <w:szCs w:val="16"/>
              </w:rPr>
              <w:t>,</w:t>
            </w:r>
            <w:r w:rsidR="001A0954">
              <w:rPr>
                <w:sz w:val="16"/>
                <w:szCs w:val="16"/>
              </w:rPr>
              <w:t xml:space="preserve"> </w:t>
            </w:r>
            <w:r w:rsidR="00432804" w:rsidRPr="00984EE1">
              <w:rPr>
                <w:sz w:val="16"/>
                <w:szCs w:val="16"/>
              </w:rPr>
              <w:t>оздоровлення</w:t>
            </w:r>
            <w:r w:rsidR="001A0954">
              <w:rPr>
                <w:sz w:val="16"/>
                <w:szCs w:val="16"/>
              </w:rPr>
              <w:t>, спорту</w:t>
            </w:r>
            <w:r w:rsidR="00432804" w:rsidRPr="00984EE1">
              <w:rPr>
                <w:sz w:val="16"/>
                <w:szCs w:val="16"/>
              </w:rPr>
              <w:t xml:space="preserve"> та</w:t>
            </w:r>
            <w:r w:rsidRPr="00984EE1">
              <w:rPr>
                <w:sz w:val="16"/>
                <w:szCs w:val="16"/>
              </w:rPr>
              <w:t xml:space="preserve"> рекреації 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5.1.1. Розбудова</w:t>
            </w:r>
            <w:r w:rsidR="00BB09FA" w:rsidRPr="00984EE1">
              <w:rPr>
                <w:sz w:val="16"/>
                <w:szCs w:val="16"/>
              </w:rPr>
              <w:t xml:space="preserve"> </w:t>
            </w:r>
            <w:r w:rsidRPr="00984EE1">
              <w:rPr>
                <w:sz w:val="16"/>
                <w:szCs w:val="16"/>
              </w:rPr>
              <w:t xml:space="preserve">санаторно-курортної </w:t>
            </w:r>
            <w:r w:rsidR="00BB09FA" w:rsidRPr="00984EE1">
              <w:rPr>
                <w:sz w:val="16"/>
                <w:szCs w:val="16"/>
              </w:rPr>
              <w:t xml:space="preserve">та спортивно-рекреаційної </w:t>
            </w:r>
            <w:r w:rsidRPr="00984EE1">
              <w:rPr>
                <w:sz w:val="16"/>
                <w:szCs w:val="16"/>
              </w:rPr>
              <w:t xml:space="preserve">інфраструктури; 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5.1.2. Збереження історико-культурної та архітектурної спадщини;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5.1.3. Впровадження проектів державно-приватного партнерства</w:t>
            </w:r>
          </w:p>
        </w:tc>
      </w:tr>
      <w:tr w:rsidR="00B97DD8" w:rsidRPr="00984EE1" w:rsidTr="00A62E2F">
        <w:trPr>
          <w:trHeight w:val="260"/>
        </w:trPr>
        <w:tc>
          <w:tcPr>
            <w:tcW w:w="709" w:type="dxa"/>
            <w:vMerge/>
            <w:shd w:val="clear" w:color="auto" w:fill="D9D9D9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 Підвищення якості регіонального туристичного продукту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5.2.1. Створення та розвиток нових туристичних пропозицій (медичний, активний, зелений, сільський, культурний, релігійний, сентиментальний, діловий туризм тощо);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5.2.2. Створення та розвиток туристичних кластерів;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5.2.3. Впровадження цифрових систем моніторингу туристичних даних;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5.2.4. Гарантування безпеки туристів;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5.2.5. Створення міжрегіонального та міжнародного туристичного продукту</w:t>
            </w:r>
          </w:p>
        </w:tc>
      </w:tr>
      <w:tr w:rsidR="00B97DD8" w:rsidRPr="00432804" w:rsidTr="00A62E2F">
        <w:trPr>
          <w:trHeight w:val="45"/>
        </w:trPr>
        <w:tc>
          <w:tcPr>
            <w:tcW w:w="709" w:type="dxa"/>
            <w:vMerge/>
            <w:shd w:val="clear" w:color="auto" w:fill="D9D9D9"/>
          </w:tcPr>
          <w:p w:rsidR="00B97DD8" w:rsidRPr="00984EE1" w:rsidRDefault="00B97DD8" w:rsidP="00B97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B97DD8" w:rsidRPr="00984EE1" w:rsidRDefault="00B97DD8" w:rsidP="00B97DD8">
            <w:pPr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 Промоція Львівщини</w:t>
            </w:r>
          </w:p>
        </w:tc>
        <w:tc>
          <w:tcPr>
            <w:tcW w:w="8222" w:type="dxa"/>
          </w:tcPr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5.3.1. Просування туристичної дестинації;</w:t>
            </w:r>
          </w:p>
          <w:p w:rsidR="00B97DD8" w:rsidRPr="00984EE1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5.3.2. Сприяння проведенню культурних, спортивних, ділових та інших туристично привабливих подій;</w:t>
            </w:r>
          </w:p>
          <w:p w:rsidR="00B97DD8" w:rsidRPr="00432804" w:rsidRDefault="00B97DD8" w:rsidP="00B97DD8">
            <w:pPr>
              <w:jc w:val="both"/>
              <w:rPr>
                <w:sz w:val="16"/>
                <w:szCs w:val="16"/>
              </w:rPr>
            </w:pPr>
            <w:r w:rsidRPr="00984EE1">
              <w:rPr>
                <w:sz w:val="16"/>
                <w:szCs w:val="16"/>
              </w:rPr>
              <w:t>5.3.3. Формування та просування туристичних брендів</w:t>
            </w:r>
          </w:p>
        </w:tc>
      </w:tr>
    </w:tbl>
    <w:p w:rsidR="002E3D8B" w:rsidRPr="00432804" w:rsidRDefault="002E3D8B">
      <w:pPr>
        <w:rPr>
          <w:color w:val="000000"/>
          <w:sz w:val="16"/>
          <w:szCs w:val="16"/>
        </w:rPr>
      </w:pPr>
    </w:p>
    <w:sectPr w:rsidR="002E3D8B" w:rsidRPr="00432804" w:rsidSect="00AE4904">
      <w:pgSz w:w="11906" w:h="16838"/>
      <w:pgMar w:top="284" w:right="850" w:bottom="142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8B"/>
    <w:rsid w:val="000F0F48"/>
    <w:rsid w:val="001A0954"/>
    <w:rsid w:val="002E3D8B"/>
    <w:rsid w:val="0034380F"/>
    <w:rsid w:val="00402ECF"/>
    <w:rsid w:val="00432804"/>
    <w:rsid w:val="00495D7A"/>
    <w:rsid w:val="004F4FEC"/>
    <w:rsid w:val="0054346B"/>
    <w:rsid w:val="00564B23"/>
    <w:rsid w:val="00660C81"/>
    <w:rsid w:val="006C7240"/>
    <w:rsid w:val="006D1B92"/>
    <w:rsid w:val="007C3E40"/>
    <w:rsid w:val="00984EE1"/>
    <w:rsid w:val="00A62E2F"/>
    <w:rsid w:val="00AE4904"/>
    <w:rsid w:val="00B97DD8"/>
    <w:rsid w:val="00BB09FA"/>
    <w:rsid w:val="00C56995"/>
    <w:rsid w:val="00DF7E85"/>
    <w:rsid w:val="00E6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F798E3-0DE6-49A6-9D99-8984901D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96D"/>
    <w:rPr>
      <w:lang w:eastAsia="ru-RU"/>
    </w:rPr>
  </w:style>
  <w:style w:type="paragraph" w:styleId="1">
    <w:name w:val="heading 1"/>
    <w:basedOn w:val="a"/>
    <w:next w:val="a"/>
    <w:link w:val="10"/>
    <w:qFormat/>
    <w:rsid w:val="00FF796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F79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6A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aliases w:val="Номер таблиці"/>
    <w:basedOn w:val="a"/>
    <w:next w:val="a"/>
    <w:link w:val="a4"/>
    <w:qFormat/>
    <w:rsid w:val="00656A1E"/>
    <w:pPr>
      <w:autoSpaceDE w:val="0"/>
      <w:autoSpaceDN w:val="0"/>
      <w:jc w:val="right"/>
    </w:pPr>
    <w:rPr>
      <w:b/>
      <w:sz w:val="28"/>
    </w:rPr>
  </w:style>
  <w:style w:type="character" w:customStyle="1" w:styleId="10">
    <w:name w:val="Заголовок 1 Знак"/>
    <w:basedOn w:val="a0"/>
    <w:link w:val="1"/>
    <w:rsid w:val="00FF796D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FF796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annotation text"/>
    <w:basedOn w:val="a"/>
    <w:link w:val="a6"/>
    <w:rsid w:val="00FF796D"/>
    <w:rPr>
      <w:rFonts w:ascii="Arial" w:hAnsi="Arial"/>
      <w:lang w:val="en-US" w:eastAsia="en-US"/>
    </w:rPr>
  </w:style>
  <w:style w:type="character" w:customStyle="1" w:styleId="a6">
    <w:name w:val="Текст примітки Знак"/>
    <w:basedOn w:val="a0"/>
    <w:link w:val="a5"/>
    <w:rsid w:val="00FF796D"/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56A1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uk-UA" w:eastAsia="ru-RU"/>
    </w:rPr>
  </w:style>
  <w:style w:type="character" w:customStyle="1" w:styleId="a4">
    <w:name w:val="Назва Знак"/>
    <w:aliases w:val="Номер таблиці Знак"/>
    <w:basedOn w:val="a0"/>
    <w:link w:val="a3"/>
    <w:rsid w:val="00656A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656A1E"/>
    <w:pPr>
      <w:autoSpaceDE w:val="0"/>
      <w:autoSpaceDN w:val="0"/>
      <w:adjustRightInd w:val="0"/>
      <w:spacing w:after="120"/>
      <w:ind w:left="357"/>
      <w:jc w:val="both"/>
    </w:pPr>
    <w:rPr>
      <w:color w:val="000000"/>
      <w:sz w:val="24"/>
      <w:szCs w:val="24"/>
      <w:lang w:val="sl-SI"/>
    </w:rPr>
  </w:style>
  <w:style w:type="paragraph" w:customStyle="1" w:styleId="Iauiue">
    <w:name w:val="Iau.iue"/>
    <w:basedOn w:val="Default"/>
    <w:next w:val="Default"/>
    <w:rsid w:val="00656A1E"/>
    <w:pPr>
      <w:spacing w:after="0"/>
      <w:ind w:left="0"/>
      <w:jc w:val="left"/>
    </w:pPr>
    <w:rPr>
      <w:rFonts w:ascii="Arial" w:hAnsi="Arial"/>
      <w:color w:val="auto"/>
      <w:lang w:val="ru-RU" w:eastAsia="ru-RU"/>
    </w:rPr>
  </w:style>
  <w:style w:type="paragraph" w:styleId="a7">
    <w:name w:val="List Paragraph"/>
    <w:basedOn w:val="a"/>
    <w:qFormat/>
    <w:rsid w:val="00656A1E"/>
    <w:pPr>
      <w:spacing w:after="200" w:line="276" w:lineRule="auto"/>
      <w:ind w:left="720"/>
      <w:contextualSpacing/>
    </w:pPr>
    <w:rPr>
      <w:rFonts w:ascii="Cambria" w:eastAsia="Calibri" w:hAnsi="Cambria"/>
      <w:sz w:val="22"/>
      <w:szCs w:val="22"/>
      <w:lang w:val="en-US" w:eastAsia="en-US" w:bidi="en-US"/>
    </w:rPr>
  </w:style>
  <w:style w:type="character" w:styleId="a8">
    <w:name w:val="Hyperlink"/>
    <w:basedOn w:val="a0"/>
    <w:uiPriority w:val="99"/>
    <w:unhideWhenUsed/>
    <w:rsid w:val="00F31EF4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866A4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0866A4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TableParagraph">
    <w:name w:val="Table Paragraph"/>
    <w:basedOn w:val="a"/>
    <w:uiPriority w:val="1"/>
    <w:qFormat/>
    <w:rsid w:val="00673F2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d">
    <w:name w:val="Normal (Web)"/>
    <w:basedOn w:val="a"/>
    <w:uiPriority w:val="99"/>
    <w:semiHidden/>
    <w:unhideWhenUsed/>
    <w:rsid w:val="00BB09FA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wcGHK5mmNUo34KN3gfv6VI4Z+w==">AMUW2mVdLSyv1pxKqG3Cq8hq014cxyQoPUkZofZCRwVKZSo3rRzI9OGbNBxyfwkRAoiE3j498tOqFI6pYZ1azi7kibW6JSqKabFBWLhjf2pDBKzfK78d+Vt5Maslp5TT6deEDXd9uxzC04jzK/jikv5BHuJDU8WqHA==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C7723D7F-2742-482E-B673-0285C077E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4338</Words>
  <Characters>2474</Characters>
  <Application>Microsoft Office Word</Application>
  <DocSecurity>4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Presa</cp:lastModifiedBy>
  <cp:revision>2</cp:revision>
  <cp:lastPrinted>2019-10-21T17:44:00Z</cp:lastPrinted>
  <dcterms:created xsi:type="dcterms:W3CDTF">2019-10-22T14:22:00Z</dcterms:created>
  <dcterms:modified xsi:type="dcterms:W3CDTF">2019-10-22T14:22:00Z</dcterms:modified>
</cp:coreProperties>
</file>